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6AD7E" w14:textId="77777777" w:rsidR="00EC38AA" w:rsidRDefault="00EC38AA" w:rsidP="00EC38AA">
      <w:pPr>
        <w:pStyle w:val="Heading1"/>
      </w:pPr>
      <w:r>
        <w:t>Editorial</w:t>
      </w:r>
    </w:p>
    <w:p w14:paraId="598A8567" w14:textId="77777777" w:rsidR="00EC38AA" w:rsidRDefault="00EC38AA" w:rsidP="00EC38AA">
      <w:r>
        <w:t xml:space="preserve">In this maiden edition of the Dominican University Journal of Humanities (DUJOH), 10 (ten) articles were carefully selected, having met the editorial requirements of the journal and passed the assessment test of the various reviewers. The first essay by Francis </w:t>
      </w:r>
      <w:proofErr w:type="spellStart"/>
      <w:r>
        <w:t>Kolade</w:t>
      </w:r>
      <w:proofErr w:type="spellEnd"/>
      <w:r>
        <w:t xml:space="preserve"> </w:t>
      </w:r>
      <w:proofErr w:type="spellStart"/>
      <w:r>
        <w:t>Ajila</w:t>
      </w:r>
      <w:proofErr w:type="spellEnd"/>
      <w:r>
        <w:t xml:space="preserve"> examines what it considers to be ethno-philosophy’s unfinished business, and its implications for contemporary Africa. It appraises the background to ethno-philosophy, its response to Africa’s developmental challenges and where it fails, and how this failure has continued to dog African philosophy and Africa, even in contemporary times. It argues that until the core issues involved in the attack on Africa (to which ethno-philosophy was responding) are frankly acknowledged and decisively dealt with, no effort on the part of African philosophers is likely to cast off the blanket of perceived inferiority from the African image.</w:t>
      </w:r>
    </w:p>
    <w:p w14:paraId="5ED9A078" w14:textId="77777777" w:rsidR="00EC38AA" w:rsidRDefault="00EC38AA" w:rsidP="00EC38AA"/>
    <w:p w14:paraId="322C96F6" w14:textId="77777777" w:rsidR="00EC38AA" w:rsidRDefault="00EC38AA" w:rsidP="00EC38AA">
      <w:r>
        <w:t xml:space="preserve">Victoria </w:t>
      </w:r>
      <w:proofErr w:type="spellStart"/>
      <w:r>
        <w:t>OpenifOluwa</w:t>
      </w:r>
      <w:proofErr w:type="spellEnd"/>
      <w:r>
        <w:t xml:space="preserve"> </w:t>
      </w:r>
      <w:proofErr w:type="spellStart"/>
      <w:r>
        <w:t>Akoleowo</w:t>
      </w:r>
      <w:proofErr w:type="spellEnd"/>
      <w:r>
        <w:t>, in her ‘state of the art’ contribution looked critically at the issue of corporate criminal liability, which she argues renders not only the retributive and rehabilitative objectives of punishment meaningless, but also provokes a spill-over effect on non-culpable individual members of the corporation. Corporate criminal liability, she argues, results in cases where individual members of the corporation ‘hide behind the corporate veil’ to commit criminal acts for which the corporation becomes culpable and is punished for corporate crime. In the process, innocent members of the corporation suffer unduly for a crime they never committed. The essay adopts Matt Peterson and Christian Barry’s contributory fault principle as model for building an effective theoretical justification for corporate criminal liability. This, it concludes, will provide the basis for the construction of a fair theory of corporate criminal liability which would imbibe the stated objectives of punishment as well as ensure that injustice is not meted out to innocent stakeholders of the corporation.</w:t>
      </w:r>
    </w:p>
    <w:p w14:paraId="1173E0E2" w14:textId="77777777" w:rsidR="00EC38AA" w:rsidRDefault="00EC38AA" w:rsidP="00EC38AA"/>
    <w:p w14:paraId="73A82D56" w14:textId="77777777" w:rsidR="00EC38AA" w:rsidRDefault="00EC38AA" w:rsidP="00EC38AA">
      <w:r>
        <w:t xml:space="preserve">The third article by </w:t>
      </w:r>
      <w:proofErr w:type="spellStart"/>
      <w:r>
        <w:t>Dokun</w:t>
      </w:r>
      <w:proofErr w:type="spellEnd"/>
      <w:r>
        <w:t xml:space="preserve"> </w:t>
      </w:r>
      <w:proofErr w:type="spellStart"/>
      <w:r>
        <w:t>Oyeshola</w:t>
      </w:r>
      <w:proofErr w:type="spellEnd"/>
      <w:r>
        <w:t xml:space="preserve"> presents environmental law and Polluter-pays principles as basis for constructing a mechanism for ameliorating the effect of environmental degradation, and for addressing the issue of justice that may emerge when there is an occasion of environmental violation. This is to ensure justice for victims of violations of environment pollution (abuse), as well as provide a credible platform for supporting Nigeria’s environmental effort in confronting its environmental abuse.</w:t>
      </w:r>
    </w:p>
    <w:p w14:paraId="4331007C" w14:textId="77777777" w:rsidR="00EC38AA" w:rsidRDefault="00EC38AA" w:rsidP="00EC38AA"/>
    <w:p w14:paraId="15E03182" w14:textId="67CFAE54" w:rsidR="00EC38AA" w:rsidRDefault="00EC38AA" w:rsidP="00EC38AA">
      <w:r>
        <w:t xml:space="preserve">Joseph </w:t>
      </w:r>
      <w:proofErr w:type="spellStart"/>
      <w:r>
        <w:t>Omokafe</w:t>
      </w:r>
      <w:proofErr w:type="spellEnd"/>
      <w:r>
        <w:t xml:space="preserve"> Fashola in his essay titled ‘Morality and Cultural Identity’ looks at the role of morality in determining one’s cultural identity. For him, since the universe is an active network of forces kept alive by the constant activities of beings, then humans need one another for their continuous existence, and our coexistence and knowledge of one another do not only influence our actions, they also warrant the institution of moral codes. This is because, without the other, judgements about rightness or wrongness of human actions would be unnecessary. Morality therefore plays a crucial role in determining one’s cultural identity</w:t>
      </w:r>
      <w:r>
        <w:t>.</w:t>
      </w:r>
    </w:p>
    <w:p w14:paraId="669C87C1" w14:textId="77777777" w:rsidR="00EC38AA" w:rsidRDefault="00EC38AA" w:rsidP="00EC38AA"/>
    <w:p w14:paraId="54D8060B" w14:textId="77777777" w:rsidR="00EC38AA" w:rsidRDefault="00EC38AA" w:rsidP="00EC38AA">
      <w:r>
        <w:t xml:space="preserve">Joseph Thomas </w:t>
      </w:r>
      <w:proofErr w:type="spellStart"/>
      <w:r>
        <w:t>Ekong</w:t>
      </w:r>
      <w:proofErr w:type="spellEnd"/>
      <w:r>
        <w:t xml:space="preserve"> in his contribution did an assessment of Claude Panaccio's interpretation of Ockham's rejection of Aquinas' account of cognition. He argues, contrary to Panaccio, that there is actually an "anti-</w:t>
      </w:r>
      <w:proofErr w:type="spellStart"/>
      <w:r>
        <w:t>representationalist</w:t>
      </w:r>
      <w:proofErr w:type="spellEnd"/>
      <w:r>
        <w:t xml:space="preserve"> bias" (presented as an epistemological argument) in Ockham's rejection of species, apart from the issue of parsimony. His point is that since Ockham's parsimony which supports direct realism, was meant to temper the alleged excesses of the indirect realism (understood within the context of </w:t>
      </w:r>
      <w:r>
        <w:lastRenderedPageBreak/>
        <w:t xml:space="preserve">the </w:t>
      </w:r>
      <w:proofErr w:type="spellStart"/>
      <w:r>
        <w:t>representationalist</w:t>
      </w:r>
      <w:proofErr w:type="spellEnd"/>
      <w:r>
        <w:t xml:space="preserve"> account) of Aquinas, it is questionable to claim as Panaccio does, that an anti-</w:t>
      </w:r>
      <w:proofErr w:type="spellStart"/>
      <w:r>
        <w:t>representationalist</w:t>
      </w:r>
      <w:proofErr w:type="spellEnd"/>
      <w:r>
        <w:t xml:space="preserve"> bias is not present in </w:t>
      </w:r>
      <w:proofErr w:type="spellStart"/>
      <w:r>
        <w:t>Ockahm's</w:t>
      </w:r>
      <w:proofErr w:type="spellEnd"/>
      <w:r>
        <w:t xml:space="preserve"> rejection of species.</w:t>
      </w:r>
    </w:p>
    <w:p w14:paraId="0BF26FD8" w14:textId="77777777" w:rsidR="00EC38AA" w:rsidRDefault="00EC38AA" w:rsidP="00EC38AA"/>
    <w:p w14:paraId="7E6CA836" w14:textId="77777777" w:rsidR="00EC38AA" w:rsidRDefault="00EC38AA" w:rsidP="00EC38AA">
      <w:r>
        <w:t xml:space="preserve">In his submission, Jude </w:t>
      </w:r>
      <w:proofErr w:type="spellStart"/>
      <w:r>
        <w:t>Okalia</w:t>
      </w:r>
      <w:proofErr w:type="spellEnd"/>
      <w:r>
        <w:t xml:space="preserve"> </w:t>
      </w:r>
      <w:proofErr w:type="spellStart"/>
      <w:r>
        <w:t>Mbukanma</w:t>
      </w:r>
      <w:proofErr w:type="spellEnd"/>
      <w:r>
        <w:t xml:space="preserve"> examines the objections of Psychology and Medical Science to ‘healing through prayers’, with a view to bringing out the fallacy inherent in these objections. He argues that though, medical practitioners and psychologists classify the miracles of healing as cases of illnesses that have a physiological and psychosomatic cause and are therefore amenable to medical and psychological suggestion, they still find in the reports of the sick who claim to be healed through miracles, certain patterns of human behaviour (states of mind) which are perfectly explicable. These inexplicable patterns are feats beyond the power of medicine and psychology, which he attributes to the handiwork of the Divine.</w:t>
      </w:r>
    </w:p>
    <w:p w14:paraId="5814F896" w14:textId="77777777" w:rsidR="00EC38AA" w:rsidRDefault="00EC38AA" w:rsidP="00EC38AA"/>
    <w:p w14:paraId="297E261D" w14:textId="77777777" w:rsidR="00EC38AA" w:rsidRDefault="00EC38AA" w:rsidP="00EC38AA">
      <w:r>
        <w:t xml:space="preserve">In their contribution, Emmanuel </w:t>
      </w:r>
      <w:proofErr w:type="spellStart"/>
      <w:r>
        <w:t>Osewe</w:t>
      </w:r>
      <w:proofErr w:type="spellEnd"/>
      <w:r>
        <w:t xml:space="preserve"> </w:t>
      </w:r>
      <w:proofErr w:type="spellStart"/>
      <w:r>
        <w:t>Akubor</w:t>
      </w:r>
      <w:proofErr w:type="spellEnd"/>
      <w:r>
        <w:t xml:space="preserve"> and </w:t>
      </w:r>
      <w:proofErr w:type="spellStart"/>
      <w:r>
        <w:t>Ensa</w:t>
      </w:r>
      <w:proofErr w:type="spellEnd"/>
      <w:r>
        <w:t xml:space="preserve"> </w:t>
      </w:r>
      <w:proofErr w:type="spellStart"/>
      <w:r>
        <w:t>Touray</w:t>
      </w:r>
      <w:proofErr w:type="spellEnd"/>
      <w:r>
        <w:t xml:space="preserve"> examines the relationship between human resources and economic growth. They argue that there is an established correlation between harnessed human resources and economic growth, but ponder on reasons why this seems not to be the case in Nigeria, despite the abundance of such human and other resources, and the level of meaningful interaction between man and the natural environment. Combining the qualitative method with the analytical and narrative historical approach, the study finds that the present socio- economic situation of the people of </w:t>
      </w:r>
      <w:proofErr w:type="gramStart"/>
      <w:r>
        <w:t>present day</w:t>
      </w:r>
      <w:proofErr w:type="gramEnd"/>
      <w:r>
        <w:t xml:space="preserve"> Nigeria, particularly as it relates to constant decline in economic growth, is occasioned by: (1) the long neglect of those features that sustained her before the colonial period and (2) the inability to retrace her steps toward attaining </w:t>
      </w:r>
      <w:proofErr w:type="spellStart"/>
      <w:r>
        <w:t>self sufficiency</w:t>
      </w:r>
      <w:proofErr w:type="spellEnd"/>
      <w:r>
        <w:t>. The essay concludes that until the people and government make that conscious effort to put things right, the quest to recover from the recession that has gripped the nation may yet remain a will-o-the-wisp.</w:t>
      </w:r>
    </w:p>
    <w:p w14:paraId="6390AC8C" w14:textId="77777777" w:rsidR="00EC38AA" w:rsidRDefault="00EC38AA" w:rsidP="00EC38AA"/>
    <w:p w14:paraId="0E253172" w14:textId="4038533F" w:rsidR="00EC38AA" w:rsidRDefault="00EC38AA" w:rsidP="00EC38AA">
      <w:r>
        <w:t xml:space="preserve">In her very highly technical paper, Lucy Happiness </w:t>
      </w:r>
      <w:proofErr w:type="spellStart"/>
      <w:r>
        <w:t>Ohanuma</w:t>
      </w:r>
      <w:proofErr w:type="spellEnd"/>
      <w:r>
        <w:t xml:space="preserve"> embarks on a philosophical appraisal of absolute claims in the metaphysical and phenomenological thoughts of Jean Luc Marion. She argues that making of absolute claims is neither a sign of weakness of reasoning or illogicality nor is it peculiar to metaphysics alone; it is a phenomenon that can be found in phenomenology as well. The essay then explores the idea of absolute claims in the phenomenological thoughts of Jean Luc Marion and concludes that while Marion seems to have successfully purged himself from metaphysical phenomena, his phenomenological assertions are laden with absolute claims.</w:t>
      </w:r>
    </w:p>
    <w:p w14:paraId="2F8720B3" w14:textId="77777777" w:rsidR="00EC38AA" w:rsidRDefault="00EC38AA" w:rsidP="00EC38AA"/>
    <w:p w14:paraId="43E6A5A0" w14:textId="77777777" w:rsidR="00EC38AA" w:rsidRDefault="00EC38AA" w:rsidP="00EC38AA">
      <w:r>
        <w:t xml:space="preserve">In their joint contribution, John </w:t>
      </w:r>
      <w:proofErr w:type="spellStart"/>
      <w:r>
        <w:t>Olubunmi</w:t>
      </w:r>
      <w:proofErr w:type="spellEnd"/>
      <w:r>
        <w:t xml:space="preserve"> Thomas and Precious </w:t>
      </w:r>
      <w:proofErr w:type="spellStart"/>
      <w:r>
        <w:t>Iyogun</w:t>
      </w:r>
      <w:proofErr w:type="spellEnd"/>
      <w:r>
        <w:t xml:space="preserve"> looked at the concept of human nature and the extent to which core features of human nature like the faculty of ratiocination can be used to enhance human security and promote the common good. They argue that addressing the challenges of security in a society will require a reenactment of the society’s idea of common good; and this can be initiated through a reawakening of rationality (which is a core principle of human nature), one that is inextricably tied with a critical outlook through which traditions and values, and more importantly the idea of common good can be subjected to further strictures, for the purpose of disbanding the challenges posed to security.</w:t>
      </w:r>
    </w:p>
    <w:p w14:paraId="5002D061" w14:textId="77777777" w:rsidR="00EC38AA" w:rsidRDefault="00EC38AA" w:rsidP="00EC38AA"/>
    <w:p w14:paraId="026CC258" w14:textId="77777777" w:rsidR="00EC38AA" w:rsidRDefault="00EC38AA" w:rsidP="00EC38AA">
      <w:r>
        <w:t xml:space="preserve">The last contribution by Jim </w:t>
      </w:r>
      <w:proofErr w:type="spellStart"/>
      <w:r>
        <w:t>Ijenwa</w:t>
      </w:r>
      <w:proofErr w:type="spellEnd"/>
      <w:r>
        <w:t xml:space="preserve"> </w:t>
      </w:r>
      <w:proofErr w:type="spellStart"/>
      <w:r>
        <w:t>Unah</w:t>
      </w:r>
      <w:proofErr w:type="spellEnd"/>
      <w:r>
        <w:t xml:space="preserve"> explores the contribution of philosophy to the restoration of public trust in governance, most especially in societies like ours, where practices that undermine trust like ‘greed’ and ‘corruption’ have eaten deep into the mental fabric of individuals. The essay reveals that as guardians of society, philosophers over the years have dreamed up ideas and initiated useful principles for the regeneration of society, as </w:t>
      </w:r>
      <w:r>
        <w:lastRenderedPageBreak/>
        <w:t>well as the advancement and enhancement of human comfort and happiness. Trust, it argues, remains the over-arching principle that bonds leaders and followers together in the delivery of public good, hence, the need to restore trust and confidence in governance and in the ordering of public affairs. It concludes that trust is sacrosanct and sustainable if rooted in the fear of consequences and well cultivated moral character, which the philosophical enterprise is designed to build.</w:t>
      </w:r>
    </w:p>
    <w:p w14:paraId="1CA7BEDA" w14:textId="77777777" w:rsidR="00EC38AA" w:rsidRDefault="00EC38AA" w:rsidP="00EC38AA"/>
    <w:p w14:paraId="21686DEE" w14:textId="77777777" w:rsidR="00EC38AA" w:rsidRDefault="00EC38AA" w:rsidP="00EC38AA">
      <w:r>
        <w:t>The foregoing shows clearly that this maiden edition of the Dominican University Journal of Humanities (DUJOH) is packed with very interesting and thought-provoking essays that have the potential of stimulating further research among scholars. I therefore wish everyone, a successful, happy and safe encounter, as you embark on this intellectual voyage.</w:t>
      </w:r>
    </w:p>
    <w:p w14:paraId="1716A8C9" w14:textId="77777777" w:rsidR="00EC38AA" w:rsidRDefault="00EC38AA" w:rsidP="00EC38AA"/>
    <w:p w14:paraId="3E4E13A3" w14:textId="77777777" w:rsidR="00EC38AA" w:rsidRPr="00EC38AA" w:rsidRDefault="00EC38AA" w:rsidP="00EC38AA">
      <w:pPr>
        <w:rPr>
          <w:b/>
          <w:bCs/>
        </w:rPr>
      </w:pPr>
      <w:r w:rsidRPr="00EC38AA">
        <w:rPr>
          <w:b/>
          <w:bCs/>
        </w:rPr>
        <w:t xml:space="preserve">Francis </w:t>
      </w:r>
      <w:proofErr w:type="spellStart"/>
      <w:r w:rsidRPr="00EC38AA">
        <w:rPr>
          <w:b/>
          <w:bCs/>
        </w:rPr>
        <w:t>Offor</w:t>
      </w:r>
      <w:proofErr w:type="spellEnd"/>
    </w:p>
    <w:p w14:paraId="13910960" w14:textId="54542C54" w:rsidR="004B6BB8" w:rsidRDefault="00EC38AA" w:rsidP="00EC38AA">
      <w:r>
        <w:t xml:space="preserve">Editor </w:t>
      </w:r>
    </w:p>
    <w:sectPr w:rsidR="004B6BB8" w:rsidSect="00604C7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AA"/>
    <w:rsid w:val="000635E4"/>
    <w:rsid w:val="001304E0"/>
    <w:rsid w:val="0013497C"/>
    <w:rsid w:val="00373410"/>
    <w:rsid w:val="003E4720"/>
    <w:rsid w:val="00431D6B"/>
    <w:rsid w:val="00492EE1"/>
    <w:rsid w:val="004B6BB8"/>
    <w:rsid w:val="00555AEB"/>
    <w:rsid w:val="00604C78"/>
    <w:rsid w:val="00646EEC"/>
    <w:rsid w:val="006A36EB"/>
    <w:rsid w:val="00707721"/>
    <w:rsid w:val="008B57A2"/>
    <w:rsid w:val="0094306C"/>
    <w:rsid w:val="009706C3"/>
    <w:rsid w:val="00A636FF"/>
    <w:rsid w:val="00B250D4"/>
    <w:rsid w:val="00C034DF"/>
    <w:rsid w:val="00DC5A2E"/>
    <w:rsid w:val="00DE167F"/>
    <w:rsid w:val="00E27646"/>
    <w:rsid w:val="00EC38AA"/>
    <w:rsid w:val="00EC40EA"/>
    <w:rsid w:val="00F32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F761"/>
  <w15:chartTrackingRefBased/>
  <w15:docId w15:val="{F5D6237B-4AD5-4BE9-90E9-0CAB7BBB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8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8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8A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38A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38A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38A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38A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38A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38A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8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8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8A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8A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38A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38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38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38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38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38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8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8A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8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38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38AA"/>
    <w:rPr>
      <w:i/>
      <w:iCs/>
      <w:color w:val="404040" w:themeColor="text1" w:themeTint="BF"/>
    </w:rPr>
  </w:style>
  <w:style w:type="paragraph" w:styleId="ListParagraph">
    <w:name w:val="List Paragraph"/>
    <w:basedOn w:val="Normal"/>
    <w:uiPriority w:val="34"/>
    <w:qFormat/>
    <w:rsid w:val="00EC38AA"/>
    <w:pPr>
      <w:ind w:left="720"/>
      <w:contextualSpacing/>
    </w:pPr>
  </w:style>
  <w:style w:type="character" w:styleId="IntenseEmphasis">
    <w:name w:val="Intense Emphasis"/>
    <w:basedOn w:val="DefaultParagraphFont"/>
    <w:uiPriority w:val="21"/>
    <w:qFormat/>
    <w:rsid w:val="00EC38AA"/>
    <w:rPr>
      <w:i/>
      <w:iCs/>
      <w:color w:val="2F5496" w:themeColor="accent1" w:themeShade="BF"/>
    </w:rPr>
  </w:style>
  <w:style w:type="paragraph" w:styleId="IntenseQuote">
    <w:name w:val="Intense Quote"/>
    <w:basedOn w:val="Normal"/>
    <w:next w:val="Normal"/>
    <w:link w:val="IntenseQuoteChar"/>
    <w:uiPriority w:val="30"/>
    <w:qFormat/>
    <w:rsid w:val="00EC38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8AA"/>
    <w:rPr>
      <w:i/>
      <w:iCs/>
      <w:color w:val="2F5496" w:themeColor="accent1" w:themeShade="BF"/>
    </w:rPr>
  </w:style>
  <w:style w:type="character" w:styleId="IntenseReference">
    <w:name w:val="Intense Reference"/>
    <w:basedOn w:val="DefaultParagraphFont"/>
    <w:uiPriority w:val="32"/>
    <w:qFormat/>
    <w:rsid w:val="00EC38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1260</Words>
  <Characters>7188</Characters>
  <Application>Microsoft Office Word</Application>
  <DocSecurity>0</DocSecurity>
  <Lines>59</Lines>
  <Paragraphs>16</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BytoOP</dc:creator>
  <cp:keywords/>
  <dc:description/>
  <cp:lastModifiedBy>BytoOP</cp:lastModifiedBy>
  <cp:revision>1</cp:revision>
  <dcterms:created xsi:type="dcterms:W3CDTF">2026-02-14T16:40:00Z</dcterms:created>
  <dcterms:modified xsi:type="dcterms:W3CDTF">2026-02-14T16:43:00Z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5830d53d-6955-4635-b755-1122ddc5d02f</vt:lpwstr>
  </property>
</Properties>
</file>